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0477DD31" wp14:textId="3DB6A9AE">
      <w:r w:rsidRPr="6CEFA022" w:rsidR="6CEFA022">
        <w:rPr>
          <w:rFonts w:ascii="Calibri" w:hAnsi="Calibri" w:eastAsia="Calibri" w:cs="Calibri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Professional and industry experience</w:t>
      </w:r>
    </w:p>
    <w:p xmlns:wp14="http://schemas.microsoft.com/office/word/2010/wordml" w14:paraId="4415A12C" wp14:textId="46227EAC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During his career, Scott has provided services to clients nationally, and coordinated a team of professionals dedicated to the area of payroll taxes. As a sole practitioner, Scott continues to provide personalized services to his clients, and advises companies of all sizes and in all industries on a variety of complex employment tax issues related to all aspects of payroll taxation. Examples of current and recent services include the following:</w:t>
      </w:r>
    </w:p>
    <w:p xmlns:wp14="http://schemas.microsoft.com/office/word/2010/wordml" w14:paraId="4D19278C" wp14:textId="23F87498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Working with numerous organizations on their response to the COVID-19 pandemic, including recovery of CARES Act credits and go-forward strategies with respect to employee work location taxability.</w:t>
      </w:r>
    </w:p>
    <w:p xmlns:wp14="http://schemas.microsoft.com/office/word/2010/wordml" w14:paraId="0268723E" wp14:textId="7BB5F911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Partners with companies to analyze, map and provide recommendations with respect to the proper tax treatment of benefit plans and optimal processes and procedures as part of a general Compliance Check on employment taxation.</w:t>
      </w:r>
    </w:p>
    <w:p xmlns:wp14="http://schemas.microsoft.com/office/word/2010/wordml" w14:paraId="13DBD03F" wp14:textId="27485FBF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Regularly works with organizations to analyze employee mobility and telecommuting positions and assist in the development of multijurisdictional taxation strategies and compliance methodology.</w:t>
      </w:r>
    </w:p>
    <w:p xmlns:wp14="http://schemas.microsoft.com/office/word/2010/wordml" w14:paraId="34A3BEA3" wp14:textId="3436E4E2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Represents/advises companies on both federal and state employment tax audits for such issues as worker classification (independent contractor), income tax withholding, state unemployment insurance,</w:t>
      </w:r>
    </w:p>
    <w:p xmlns:wp14="http://schemas.microsoft.com/office/word/2010/wordml" w14:paraId="6A504CFD" wp14:textId="5E9A9FCD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and general payroll reporting compliance.</w:t>
      </w:r>
    </w:p>
    <w:p xmlns:wp14="http://schemas.microsoft.com/office/word/2010/wordml" w14:paraId="366ED3E7" wp14:textId="33BDE4C2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Has recovered significant federal and state payroll tax refunds as a result of the identification of overpayments of both federal and state payroll taxes.</w:t>
      </w:r>
    </w:p>
    <w:p xmlns:wp14="http://schemas.microsoft.com/office/word/2010/wordml" w14:paraId="7919845D" wp14:textId="4CA6C37E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 Partners with organizations undergoing restructuring activity in areas such as federal/state taxable wage base successorship, state reporting responsibilities, project planning, unemployment rate compliance and related issues.</w:t>
      </w:r>
    </w:p>
    <w:p xmlns:wp14="http://schemas.microsoft.com/office/word/2010/wordml" w14:paraId="520C63A9" wp14:textId="5B292C0A">
      <w:r w:rsidRPr="6CEFA022" w:rsidR="6CEFA022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Scott has also been a frequent speaker and author on federal, state and local employment tax issues. As an active member of APA, Scott lends his technical expertise through a variety of venues.</w:t>
      </w:r>
    </w:p>
    <w:p xmlns:wp14="http://schemas.microsoft.com/office/word/2010/wordml" w:rsidP="6CEFA022" w14:paraId="2C078E63" wp14:textId="5646CB73">
      <w:pPr>
        <w:pStyle w:val="Normal"/>
      </w:pP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F57D1E"/>
    <w:rsid w:val="4BF57D1E"/>
    <w:rsid w:val="6CEFA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57D1E"/>
  <w15:chartTrackingRefBased/>
  <w15:docId w15:val="{3D32A857-04AE-4333-91E5-6A03A8A46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2021-07-03T13:51:41.5067589Z</dcterms:created>
  <dcterms:modified xsi:type="dcterms:W3CDTF">2021-07-17T14:07:26.8313971Z</dcterms:modified>
  <dc:creator>gina senatore</dc:creator>
  <lastModifiedBy>gina senatore</lastModifiedBy>
</coreProperties>
</file>